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63D0" w14:textId="77777777" w:rsidR="00F27321" w:rsidRPr="00643792" w:rsidRDefault="00F27321" w:rsidP="00F27321">
      <w:pPr>
        <w:jc w:val="center"/>
        <w:rPr>
          <w:rFonts w:cs="Times New Roman"/>
          <w:b/>
          <w:bCs/>
          <w:sz w:val="22"/>
          <w:szCs w:val="22"/>
        </w:rPr>
      </w:pPr>
      <w:r w:rsidRPr="00643792">
        <w:rPr>
          <w:rFonts w:cs="Times New Roman"/>
          <w:b/>
          <w:bCs/>
          <w:sz w:val="22"/>
          <w:szCs w:val="22"/>
        </w:rPr>
        <w:t>ASCC Social and Behavioral Sciences Subcommittee</w:t>
      </w:r>
    </w:p>
    <w:p w14:paraId="4093E6BF" w14:textId="5DBDC933" w:rsidR="00F27321" w:rsidRPr="00643792" w:rsidRDefault="00DB0811" w:rsidP="00F27321">
      <w:pPr>
        <w:jc w:val="center"/>
        <w:rPr>
          <w:rFonts w:cs="Times New Roman"/>
          <w:sz w:val="22"/>
          <w:szCs w:val="22"/>
        </w:rPr>
      </w:pPr>
      <w:r>
        <w:rPr>
          <w:rFonts w:cs="Times New Roman"/>
          <w:sz w:val="22"/>
          <w:szCs w:val="22"/>
        </w:rPr>
        <w:t>A</w:t>
      </w:r>
      <w:r w:rsidR="002A5922">
        <w:rPr>
          <w:rFonts w:cs="Times New Roman"/>
          <w:sz w:val="22"/>
          <w:szCs w:val="22"/>
        </w:rPr>
        <w:t>pproved</w:t>
      </w:r>
      <w:r w:rsidR="004804D6">
        <w:rPr>
          <w:rFonts w:cs="Times New Roman"/>
          <w:sz w:val="22"/>
          <w:szCs w:val="22"/>
        </w:rPr>
        <w:t xml:space="preserve"> Minutes</w:t>
      </w:r>
    </w:p>
    <w:p w14:paraId="05081278" w14:textId="2300CB6C" w:rsidR="00F27321" w:rsidRPr="00643792" w:rsidRDefault="00F27321" w:rsidP="00F27321">
      <w:pPr>
        <w:rPr>
          <w:rFonts w:cs="Times New Roman"/>
          <w:sz w:val="22"/>
          <w:szCs w:val="22"/>
        </w:rPr>
      </w:pPr>
      <w:r w:rsidRPr="00643792">
        <w:rPr>
          <w:rFonts w:cs="Times New Roman"/>
          <w:sz w:val="22"/>
          <w:szCs w:val="22"/>
        </w:rPr>
        <w:t xml:space="preserve">Wednesday, </w:t>
      </w:r>
      <w:r w:rsidR="002A5922">
        <w:rPr>
          <w:rFonts w:cs="Times New Roman"/>
          <w:sz w:val="22"/>
          <w:szCs w:val="22"/>
        </w:rPr>
        <w:t>Nov. 5</w:t>
      </w:r>
      <w:r w:rsidR="002A5922" w:rsidRPr="002A5922">
        <w:rPr>
          <w:rFonts w:cs="Times New Roman"/>
          <w:sz w:val="22"/>
          <w:szCs w:val="22"/>
          <w:vertAlign w:val="superscript"/>
        </w:rPr>
        <w:t>th</w:t>
      </w:r>
      <w:r w:rsidRPr="00643792">
        <w:rPr>
          <w:rFonts w:cs="Times New Roman"/>
          <w:sz w:val="22"/>
          <w:szCs w:val="22"/>
        </w:rPr>
        <w:t>, 2025</w:t>
      </w:r>
      <w:r w:rsidRPr="00643792">
        <w:rPr>
          <w:rFonts w:cs="Times New Roman"/>
          <w:sz w:val="22"/>
          <w:szCs w:val="22"/>
        </w:rPr>
        <w:tab/>
      </w:r>
      <w:r w:rsidRPr="00643792">
        <w:rPr>
          <w:rFonts w:cs="Times New Roman"/>
          <w:sz w:val="22"/>
          <w:szCs w:val="22"/>
        </w:rPr>
        <w:tab/>
      </w:r>
      <w:r w:rsidRPr="00643792">
        <w:rPr>
          <w:rFonts w:cs="Times New Roman"/>
          <w:sz w:val="22"/>
          <w:szCs w:val="22"/>
        </w:rPr>
        <w:tab/>
      </w:r>
      <w:r w:rsidRPr="00643792">
        <w:rPr>
          <w:rFonts w:cs="Times New Roman"/>
          <w:sz w:val="22"/>
          <w:szCs w:val="22"/>
        </w:rPr>
        <w:tab/>
      </w:r>
      <w:r w:rsidRPr="00643792">
        <w:rPr>
          <w:rFonts w:cs="Times New Roman"/>
          <w:sz w:val="22"/>
          <w:szCs w:val="22"/>
        </w:rPr>
        <w:tab/>
      </w:r>
      <w:r w:rsidRPr="00643792">
        <w:rPr>
          <w:rFonts w:cs="Times New Roman"/>
          <w:sz w:val="22"/>
          <w:szCs w:val="22"/>
        </w:rPr>
        <w:tab/>
      </w:r>
      <w:r w:rsidR="009155CF">
        <w:rPr>
          <w:rFonts w:cs="Times New Roman"/>
          <w:sz w:val="22"/>
          <w:szCs w:val="22"/>
        </w:rPr>
        <w:tab/>
      </w:r>
      <w:r w:rsidRPr="00643792">
        <w:rPr>
          <w:rFonts w:cs="Times New Roman"/>
          <w:sz w:val="22"/>
          <w:szCs w:val="22"/>
        </w:rPr>
        <w:t xml:space="preserve">      1:30PM – 3:00PM</w:t>
      </w:r>
    </w:p>
    <w:p w14:paraId="21B93A58" w14:textId="77777777" w:rsidR="00F27321" w:rsidRPr="00643792" w:rsidRDefault="00F27321" w:rsidP="00F27321">
      <w:pPr>
        <w:rPr>
          <w:rFonts w:cs="Times New Roman"/>
          <w:sz w:val="22"/>
          <w:szCs w:val="22"/>
        </w:rPr>
      </w:pPr>
      <w:r w:rsidRPr="00643792">
        <w:rPr>
          <w:rFonts w:cs="Times New Roman"/>
          <w:sz w:val="22"/>
          <w:szCs w:val="22"/>
        </w:rPr>
        <w:t>CarmenZoom</w:t>
      </w:r>
    </w:p>
    <w:p w14:paraId="5A001703" w14:textId="1E011A13" w:rsidR="00F27321" w:rsidRPr="00643792" w:rsidRDefault="00F27321" w:rsidP="00F27321">
      <w:pPr>
        <w:rPr>
          <w:rFonts w:cs="Times New Roman"/>
          <w:sz w:val="22"/>
          <w:szCs w:val="22"/>
        </w:rPr>
      </w:pPr>
      <w:r w:rsidRPr="00643792">
        <w:rPr>
          <w:rFonts w:cs="Times New Roman"/>
          <w:b/>
          <w:bCs/>
          <w:sz w:val="22"/>
          <w:szCs w:val="22"/>
        </w:rPr>
        <w:t>Attendees</w:t>
      </w:r>
      <w:r w:rsidRPr="00564CA0">
        <w:rPr>
          <w:rFonts w:cs="Times New Roman"/>
          <w:b/>
          <w:bCs/>
          <w:sz w:val="22"/>
          <w:szCs w:val="22"/>
        </w:rPr>
        <w:t>:</w:t>
      </w:r>
      <w:r w:rsidRPr="00564CA0">
        <w:rPr>
          <w:rFonts w:cs="Times New Roman"/>
          <w:sz w:val="22"/>
          <w:szCs w:val="22"/>
        </w:rPr>
        <w:t xml:space="preserve"> </w:t>
      </w:r>
      <w:r w:rsidR="004804D6">
        <w:rPr>
          <w:rFonts w:cs="Times New Roman"/>
          <w:sz w:val="22"/>
          <w:szCs w:val="22"/>
        </w:rPr>
        <w:t xml:space="preserve">Brello, </w:t>
      </w:r>
      <w:r w:rsidR="002F2F8E" w:rsidRPr="00564CA0">
        <w:rPr>
          <w:rFonts w:cs="Times New Roman"/>
          <w:sz w:val="22"/>
          <w:szCs w:val="22"/>
        </w:rPr>
        <w:t>Dwyer,</w:t>
      </w:r>
      <w:r w:rsidR="000337C5" w:rsidRPr="00564CA0">
        <w:rPr>
          <w:rFonts w:cs="Times New Roman"/>
          <w:sz w:val="22"/>
          <w:szCs w:val="22"/>
        </w:rPr>
        <w:t xml:space="preserve"> </w:t>
      </w:r>
      <w:r w:rsidR="00DA3264" w:rsidRPr="00564CA0">
        <w:rPr>
          <w:rFonts w:cs="Times New Roman"/>
          <w:sz w:val="22"/>
          <w:szCs w:val="22"/>
        </w:rPr>
        <w:t>McKean</w:t>
      </w:r>
      <w:r w:rsidR="000337C5" w:rsidRPr="00564CA0">
        <w:rPr>
          <w:rFonts w:cs="Times New Roman"/>
          <w:sz w:val="22"/>
          <w:szCs w:val="22"/>
        </w:rPr>
        <w:t>,</w:t>
      </w:r>
      <w:r w:rsidR="002F2F8E" w:rsidRPr="00564CA0">
        <w:rPr>
          <w:rFonts w:cs="Times New Roman"/>
          <w:sz w:val="22"/>
          <w:szCs w:val="22"/>
        </w:rPr>
        <w:t xml:space="preserve"> Steele, V</w:t>
      </w:r>
      <w:r w:rsidR="00DA3264" w:rsidRPr="00564CA0">
        <w:rPr>
          <w:rFonts w:cs="Times New Roman"/>
          <w:sz w:val="22"/>
          <w:szCs w:val="22"/>
        </w:rPr>
        <w:t>alle, V</w:t>
      </w:r>
      <w:r w:rsidR="002F2F8E" w:rsidRPr="00564CA0">
        <w:rPr>
          <w:rFonts w:cs="Times New Roman"/>
          <w:sz w:val="22"/>
          <w:szCs w:val="22"/>
        </w:rPr>
        <w:t>ankeerbergen</w:t>
      </w:r>
      <w:r w:rsidR="000337C5" w:rsidRPr="00564CA0">
        <w:rPr>
          <w:rFonts w:cs="Times New Roman"/>
          <w:sz w:val="22"/>
          <w:szCs w:val="22"/>
        </w:rPr>
        <w:t>, Xiao</w:t>
      </w:r>
    </w:p>
    <w:p w14:paraId="070DD603" w14:textId="51EB9AA7" w:rsidR="002D511B" w:rsidRPr="00643792" w:rsidRDefault="00F27321" w:rsidP="002D511B">
      <w:pPr>
        <w:rPr>
          <w:rFonts w:cs="Times New Roman"/>
          <w:b/>
          <w:bCs/>
          <w:sz w:val="22"/>
          <w:szCs w:val="22"/>
        </w:rPr>
      </w:pPr>
      <w:r w:rsidRPr="00643792">
        <w:rPr>
          <w:rFonts w:cs="Times New Roman"/>
          <w:b/>
          <w:bCs/>
          <w:sz w:val="22"/>
          <w:szCs w:val="22"/>
        </w:rPr>
        <w:t>Agenda</w:t>
      </w:r>
      <w:r w:rsidR="002D511B" w:rsidRPr="00643792">
        <w:rPr>
          <w:rFonts w:eastAsia="Times New Roman" w:cs="Times New Roman"/>
          <w:b/>
          <w:bCs/>
          <w:color w:val="000000"/>
          <w:kern w:val="0"/>
          <w:sz w:val="20"/>
          <w:szCs w:val="20"/>
          <w14:ligatures w14:val="none"/>
        </w:rPr>
        <w:t xml:space="preserve"> </w:t>
      </w:r>
    </w:p>
    <w:p w14:paraId="5DCE950F" w14:textId="06E0CBF1" w:rsidR="00C919CD" w:rsidRDefault="00C919CD" w:rsidP="00C919CD">
      <w:pPr>
        <w:pStyle w:val="ListParagraph"/>
        <w:numPr>
          <w:ilvl w:val="0"/>
          <w:numId w:val="9"/>
        </w:numPr>
      </w:pPr>
      <w:r>
        <w:t>Approval of 10-08-2025 minutes</w:t>
      </w:r>
    </w:p>
    <w:p w14:paraId="6720A7A7" w14:textId="2B521B01" w:rsidR="00382224" w:rsidRDefault="00382224" w:rsidP="00382224">
      <w:pPr>
        <w:pStyle w:val="ListParagraph"/>
        <w:numPr>
          <w:ilvl w:val="1"/>
          <w:numId w:val="9"/>
        </w:numPr>
      </w:pPr>
      <w:r>
        <w:t>McKean, Brello; unanimously approved</w:t>
      </w:r>
      <w:r w:rsidR="004804D6">
        <w:t>.</w:t>
      </w:r>
    </w:p>
    <w:p w14:paraId="1E73E645" w14:textId="77777777" w:rsidR="004804D6" w:rsidRDefault="004804D6" w:rsidP="004804D6">
      <w:pPr>
        <w:pStyle w:val="ListParagraph"/>
        <w:ind w:left="1440"/>
      </w:pPr>
    </w:p>
    <w:p w14:paraId="3B9AF344" w14:textId="77777777" w:rsidR="00C919CD" w:rsidRDefault="00C919CD" w:rsidP="00C919CD">
      <w:pPr>
        <w:pStyle w:val="ListParagraph"/>
        <w:numPr>
          <w:ilvl w:val="0"/>
          <w:numId w:val="9"/>
        </w:numPr>
      </w:pPr>
      <w:r>
        <w:t>ASC 3600 – new course (return)</w:t>
      </w:r>
    </w:p>
    <w:p w14:paraId="270994DE" w14:textId="7088A72E" w:rsidR="001654F3" w:rsidRPr="00627935" w:rsidRDefault="001654F3" w:rsidP="00CC4178">
      <w:pPr>
        <w:pStyle w:val="ListParagraph"/>
        <w:numPr>
          <w:ilvl w:val="1"/>
          <w:numId w:val="9"/>
        </w:numPr>
      </w:pPr>
      <w:r w:rsidRPr="00627935">
        <w:rPr>
          <w:b/>
          <w:bCs/>
        </w:rPr>
        <w:t>Contingency:</w:t>
      </w:r>
      <w:r w:rsidRPr="00627935">
        <w:t xml:space="preserve"> The Subcommittee requests that the </w:t>
      </w:r>
      <w:r w:rsidR="00627935">
        <w:t xml:space="preserve">course proposer(s) </w:t>
      </w:r>
      <w:r w:rsidRPr="00627935">
        <w:t xml:space="preserve">include in the course calendar (syllabus pp. </w:t>
      </w:r>
      <w:r w:rsidR="001F25B4" w:rsidRPr="00627935">
        <w:t>12-16</w:t>
      </w:r>
      <w:r w:rsidRPr="00627935">
        <w:t>) the “additional scholarly readings” referenced in item 2 of the cover letter.  In the current syllabus, the Subcommittee only sees reading</w:t>
      </w:r>
      <w:r w:rsidR="002A5922">
        <w:t>s</w:t>
      </w:r>
      <w:r w:rsidRPr="00627935">
        <w:t xml:space="preserve"> from the textbook, excepting week </w:t>
      </w:r>
      <w:r w:rsidR="001F25B4" w:rsidRPr="00627935">
        <w:t>seven’s “Innovation in Sports Organizations” article.</w:t>
      </w:r>
    </w:p>
    <w:p w14:paraId="5AC122A3" w14:textId="14A028BF" w:rsidR="00845F91" w:rsidRDefault="00845F91" w:rsidP="00CC4178">
      <w:pPr>
        <w:pStyle w:val="ListParagraph"/>
        <w:numPr>
          <w:ilvl w:val="1"/>
          <w:numId w:val="9"/>
        </w:numPr>
      </w:pPr>
      <w:r>
        <w:rPr>
          <w:b/>
          <w:bCs/>
        </w:rPr>
        <w:t>Contingency:</w:t>
      </w:r>
      <w:r>
        <w:t xml:space="preserve"> The Subcommittee requests that the course proposer(s) alter the description of the Leadership Profile assignment on p. 6 of the syllabus.  According to the cover letter (item 1), this has been amended to specify a “figure within sports leadership”, but that </w:t>
      </w:r>
      <w:r w:rsidR="009155CF">
        <w:t xml:space="preserve">language </w:t>
      </w:r>
      <w:r>
        <w:t>is not present in the submitted syllabus.</w:t>
      </w:r>
    </w:p>
    <w:p w14:paraId="20F34D5B" w14:textId="08871C3F" w:rsidR="002A5922" w:rsidRDefault="002A5922" w:rsidP="002A5922">
      <w:pPr>
        <w:pStyle w:val="ListParagraph"/>
        <w:numPr>
          <w:ilvl w:val="1"/>
          <w:numId w:val="9"/>
        </w:numPr>
      </w:pPr>
      <w:r w:rsidRPr="00627935">
        <w:rPr>
          <w:b/>
          <w:bCs/>
        </w:rPr>
        <w:t>Contingency:</w:t>
      </w:r>
      <w:r w:rsidRPr="00627935">
        <w:t xml:space="preserve">  The Subcommittee</w:t>
      </w:r>
      <w:r>
        <w:t xml:space="preserve"> asks that the course proposer(s) include the correct course number in the major’s Curriculum Map (ASC 3600), as the reference to this course on the current map reads “ASC 3xxx”.</w:t>
      </w:r>
    </w:p>
    <w:p w14:paraId="5FE5963E" w14:textId="61C2F0CE" w:rsidR="00845F91" w:rsidRDefault="00845F91" w:rsidP="008E2A29">
      <w:pPr>
        <w:pStyle w:val="ListParagraph"/>
        <w:numPr>
          <w:ilvl w:val="1"/>
          <w:numId w:val="9"/>
        </w:numPr>
      </w:pPr>
      <w:r>
        <w:rPr>
          <w:i/>
          <w:iCs/>
        </w:rPr>
        <w:t xml:space="preserve">Recommendation: </w:t>
      </w:r>
      <w:r>
        <w:t xml:space="preserve">The Subcommittee notes that the course </w:t>
      </w:r>
      <w:r w:rsidR="008E2A29">
        <w:t xml:space="preserve">proposer(s) </w:t>
      </w:r>
      <w:r w:rsidR="006354BB">
        <w:t>use</w:t>
      </w:r>
      <w:r w:rsidR="008E2A29">
        <w:t>(</w:t>
      </w:r>
      <w:r w:rsidR="006354BB">
        <w:t>s</w:t>
      </w:r>
      <w:r w:rsidR="008E2A29">
        <w:t>)</w:t>
      </w:r>
      <w:r w:rsidR="006354BB">
        <w:t xml:space="preserve"> many different terms for describing the experiential learning components of the course (e.g. “practical experience”, “hands-on exploration”, </w:t>
      </w:r>
      <w:r w:rsidR="008E2A29">
        <w:t>“action-based exploration”).  However, the Subcommittee particularly liked the framing of leadership as a set of skills or as an intra/interpersonal human skill (e.g. syllabus p. 1 under “Leadership Is a Human Skill – Practice in Sports”), and they encourage the proposer(s) to consider using that language more frequently in the syllabus.</w:t>
      </w:r>
    </w:p>
    <w:p w14:paraId="7F014A20" w14:textId="14BD0F95" w:rsidR="00BF448C" w:rsidRDefault="008E2A29" w:rsidP="00BF448C">
      <w:pPr>
        <w:pStyle w:val="ListParagraph"/>
        <w:numPr>
          <w:ilvl w:val="1"/>
          <w:numId w:val="9"/>
        </w:numPr>
      </w:pPr>
      <w:r>
        <w:rPr>
          <w:i/>
          <w:iCs/>
        </w:rPr>
        <w:t>Recommendation:</w:t>
      </w:r>
      <w:r>
        <w:t xml:space="preserve"> The Subcommittee suggests that the </w:t>
      </w:r>
      <w:r w:rsidR="002A5922">
        <w:t>course proposer(s)</w:t>
      </w:r>
      <w:r>
        <w:t xml:space="preserve"> remove the Title IX statement on p. 22 of the syllabus, as this has been replaced by the statement on “Creating an Environment Free from </w:t>
      </w:r>
      <w:r>
        <w:lastRenderedPageBreak/>
        <w:t>Harassment, Discrimination, and Sexual Misconduct”</w:t>
      </w:r>
      <w:r w:rsidR="00BF448C">
        <w:t xml:space="preserve"> that the proposer(s) has/have already included on pp. 18-19 of the syllabus.</w:t>
      </w:r>
    </w:p>
    <w:p w14:paraId="77CEDFB9" w14:textId="7C39BE62" w:rsidR="00BF448C" w:rsidRDefault="00BF448C" w:rsidP="00BF448C">
      <w:pPr>
        <w:pStyle w:val="ListParagraph"/>
        <w:numPr>
          <w:ilvl w:val="1"/>
          <w:numId w:val="9"/>
        </w:numPr>
      </w:pPr>
      <w:r>
        <w:rPr>
          <w:i/>
          <w:iCs/>
        </w:rPr>
        <w:t>Recommendation:</w:t>
      </w:r>
      <w:r>
        <w:t xml:space="preserve"> The Subcommittee recommends that the </w:t>
      </w:r>
      <w:r w:rsidR="002A5922">
        <w:t>course proposer(s)</w:t>
      </w:r>
      <w:r>
        <w:t xml:space="preserve"> include in the Religious Accommodations Statement (syllabus pp. 2</w:t>
      </w:r>
      <w:r w:rsidR="002A5922">
        <w:t>1</w:t>
      </w:r>
      <w:r>
        <w:t>-2</w:t>
      </w:r>
      <w:r w:rsidR="002A5922">
        <w:t>2</w:t>
      </w:r>
      <w:r>
        <w:t xml:space="preserve">) the links to both the Civil Rights Compliance Office and the Policy on Religious Holidays, Holy Days and Observances.  The statement, with these links embedded, is available in an easy-to-copy/paste format on the </w:t>
      </w:r>
      <w:hyperlink r:id="rId5" w:history="1">
        <w:r w:rsidRPr="00BF448C">
          <w:rPr>
            <w:rStyle w:val="Hyperlink"/>
          </w:rPr>
          <w:t>Office of Undergraduate Education’s website</w:t>
        </w:r>
      </w:hyperlink>
      <w:r>
        <w:t>.</w:t>
      </w:r>
    </w:p>
    <w:p w14:paraId="04224364" w14:textId="3292D8FA" w:rsidR="004E7705" w:rsidRDefault="004E7705" w:rsidP="004E7705">
      <w:pPr>
        <w:pStyle w:val="ListParagraph"/>
        <w:numPr>
          <w:ilvl w:val="1"/>
          <w:numId w:val="9"/>
        </w:numPr>
      </w:pPr>
      <w:r>
        <w:t xml:space="preserve">McKean, Brello; approved with </w:t>
      </w:r>
      <w:r w:rsidR="00BF448C">
        <w:rPr>
          <w:b/>
          <w:bCs/>
        </w:rPr>
        <w:t xml:space="preserve">three contingencies </w:t>
      </w:r>
      <w:r w:rsidR="00BF448C">
        <w:t xml:space="preserve">(in bold above) and </w:t>
      </w:r>
      <w:r w:rsidR="00BF448C">
        <w:rPr>
          <w:i/>
          <w:iCs/>
        </w:rPr>
        <w:t xml:space="preserve">three recommendations </w:t>
      </w:r>
      <w:r w:rsidR="00BF448C">
        <w:t>(in italics above).</w:t>
      </w:r>
    </w:p>
    <w:p w14:paraId="3BE8635E" w14:textId="77777777" w:rsidR="00B764E0" w:rsidRPr="004E7705" w:rsidRDefault="00B764E0" w:rsidP="00B764E0">
      <w:pPr>
        <w:pStyle w:val="ListParagraph"/>
        <w:ind w:left="1440"/>
      </w:pPr>
    </w:p>
    <w:p w14:paraId="724ED099" w14:textId="77777777" w:rsidR="00C919CD" w:rsidRDefault="00C919CD" w:rsidP="00C919CD">
      <w:pPr>
        <w:pStyle w:val="ListParagraph"/>
        <w:numPr>
          <w:ilvl w:val="0"/>
          <w:numId w:val="9"/>
        </w:numPr>
      </w:pPr>
      <w:r>
        <w:t>Sociology 3555 – new course</w:t>
      </w:r>
    </w:p>
    <w:p w14:paraId="5E1BEB76" w14:textId="3830EF91" w:rsidR="00472E1B" w:rsidRDefault="00472E1B" w:rsidP="004E7705">
      <w:pPr>
        <w:pStyle w:val="ListParagraph"/>
        <w:numPr>
          <w:ilvl w:val="1"/>
          <w:numId w:val="9"/>
        </w:numPr>
      </w:pPr>
      <w:r>
        <w:rPr>
          <w:b/>
          <w:bCs/>
        </w:rPr>
        <w:t xml:space="preserve">Contingency: </w:t>
      </w:r>
      <w:r>
        <w:t>The Subcommittee asks that the department provide a cover letter outlining the changes made to the proposal based on the feedback below.</w:t>
      </w:r>
    </w:p>
    <w:p w14:paraId="02AB2616" w14:textId="66D6E23D" w:rsidR="00472E1B" w:rsidRDefault="00472E1B" w:rsidP="004E7705">
      <w:pPr>
        <w:pStyle w:val="ListParagraph"/>
        <w:numPr>
          <w:ilvl w:val="1"/>
          <w:numId w:val="9"/>
        </w:numPr>
      </w:pPr>
      <w:r>
        <w:rPr>
          <w:b/>
          <w:bCs/>
        </w:rPr>
        <w:t>Contingency:</w:t>
      </w:r>
      <w:r>
        <w:t xml:space="preserve"> </w:t>
      </w:r>
      <w:r w:rsidR="00037ACC">
        <w:t xml:space="preserve">The Subcommittee asks that the department provide more information in the syllabus regarding the actual logistics and mechanics of the on-site observations.  For example, will there be a class session devoted to discussing behavior, dress, decorum, etc. during the site visits/observations? How might students know when it is and is not acceptable to take pictures (per the “Scavenger Hunt” and the “photographic evidence” requirements, Appendix A)?  Will students be expected to visit alone or in groups?  Will the instructor provide locations of the various courts and the days/times </w:t>
      </w:r>
      <w:r w:rsidR="009155CF">
        <w:t xml:space="preserve">that they are </w:t>
      </w:r>
      <w:r w:rsidR="00037ACC">
        <w:t>in session, or will students be required to seek out that information on their own?  Is transportation the responsibility of the student?  What costs might be involved for parking, transportation, etc.?</w:t>
      </w:r>
    </w:p>
    <w:p w14:paraId="0188EB25" w14:textId="4019AC26" w:rsidR="006575C1" w:rsidRPr="006575C1" w:rsidRDefault="006575C1" w:rsidP="006575C1">
      <w:pPr>
        <w:pStyle w:val="ListParagraph"/>
        <w:numPr>
          <w:ilvl w:val="1"/>
          <w:numId w:val="9"/>
        </w:numPr>
      </w:pPr>
      <w:r>
        <w:rPr>
          <w:b/>
          <w:bCs/>
        </w:rPr>
        <w:t>Contingency:</w:t>
      </w:r>
      <w:r>
        <w:t xml:space="preserve"> The Subcommittee notes that p. </w:t>
      </w:r>
      <w:r w:rsidR="009B551B">
        <w:t>7</w:t>
      </w:r>
      <w:r>
        <w:t xml:space="preserve"> of the syllabus indicates that the course will be graded on an S/U basis, while the information in curriculum.osu.edu (under “Offering Information”) says that the course will be graded A-E.  The Subcommittee requests that this be consistent throughout the proposal materials.</w:t>
      </w:r>
      <w:r w:rsidRPr="006575C1">
        <w:rPr>
          <w:b/>
          <w:bCs/>
        </w:rPr>
        <w:t xml:space="preserve"> </w:t>
      </w:r>
    </w:p>
    <w:p w14:paraId="42E6A4A1" w14:textId="324D9A3C" w:rsidR="006575C1" w:rsidRDefault="006575C1" w:rsidP="004E7705">
      <w:pPr>
        <w:pStyle w:val="ListParagraph"/>
        <w:numPr>
          <w:ilvl w:val="1"/>
          <w:numId w:val="9"/>
        </w:numPr>
      </w:pPr>
      <w:r>
        <w:rPr>
          <w:b/>
          <w:bCs/>
        </w:rPr>
        <w:t xml:space="preserve">Contingency: </w:t>
      </w:r>
      <w:r>
        <w:t xml:space="preserve">The Subcommittee asks that the department alter the course description </w:t>
      </w:r>
      <w:r w:rsidR="00273201">
        <w:t xml:space="preserve">in curriculum.osu.edu (under General Information) to include mention of the course’s requirements for off-campus court observations, as this is the information that students will see prior to registering for the course.  The Subcommittee offers the friendly suggestion that this information replace the final sentence of the current course description, </w:t>
      </w:r>
      <w:r w:rsidR="009B551B">
        <w:t>which seems to</w:t>
      </w:r>
      <w:r w:rsidR="00273201">
        <w:t xml:space="preserve"> imply a “forgone conclusion” for the course.</w:t>
      </w:r>
    </w:p>
    <w:p w14:paraId="56549C3A" w14:textId="2EA70CED" w:rsidR="00713589" w:rsidRDefault="00713589" w:rsidP="004E7705">
      <w:pPr>
        <w:pStyle w:val="ListParagraph"/>
        <w:numPr>
          <w:ilvl w:val="1"/>
          <w:numId w:val="9"/>
        </w:numPr>
      </w:pPr>
      <w:r>
        <w:rPr>
          <w:b/>
          <w:bCs/>
        </w:rPr>
        <w:lastRenderedPageBreak/>
        <w:t>Contingency:</w:t>
      </w:r>
      <w:r>
        <w:t xml:space="preserve">  The Subcommittee asks that the curriculum map be corrected, as the reference to this course still reads “4555” rather than “3555”.</w:t>
      </w:r>
    </w:p>
    <w:p w14:paraId="0D55843E" w14:textId="4E894F7F" w:rsidR="00786A39" w:rsidRDefault="00786A39" w:rsidP="004E7705">
      <w:pPr>
        <w:pStyle w:val="ListParagraph"/>
        <w:numPr>
          <w:ilvl w:val="1"/>
          <w:numId w:val="9"/>
        </w:numPr>
      </w:pPr>
      <w:r>
        <w:rPr>
          <w:b/>
          <w:bCs/>
        </w:rPr>
        <w:t xml:space="preserve">Contingency: </w:t>
      </w:r>
      <w:r>
        <w:t xml:space="preserve">The Subcommittee asks that the instructor explain more clearly in the syllabus the connection between the podcasts, the readings, and the course content.  They note that Appendix D (syllabus pp. 24-25) provides </w:t>
      </w:r>
      <w:r w:rsidR="0017727A">
        <w:t>only the podcast’s “official” description; the Subcommittee asks that this be amended by or replaced wit</w:t>
      </w:r>
      <w:r w:rsidR="00AE3D0D">
        <w:t>h some material that helps students to understand how the podcast supports the course’s expected learning outcomes (syllabus, p. 3).  On a related note, the Subcommittee notes that there are two different Appendices marked “Appendix D”; each has different descriptions of the podcast.</w:t>
      </w:r>
    </w:p>
    <w:p w14:paraId="1154B259" w14:textId="0E414F1B" w:rsidR="00273201" w:rsidRDefault="00273201" w:rsidP="004E7705">
      <w:pPr>
        <w:pStyle w:val="ListParagraph"/>
        <w:numPr>
          <w:ilvl w:val="1"/>
          <w:numId w:val="9"/>
        </w:numPr>
      </w:pPr>
      <w:r>
        <w:rPr>
          <w:i/>
          <w:iCs/>
        </w:rPr>
        <w:t xml:space="preserve">Recommendation: </w:t>
      </w:r>
      <w:r>
        <w:t>The Subcommittee suggests that the department include benchmarks along the way for the observation hours (</w:t>
      </w:r>
      <w:r w:rsidR="00B764E0">
        <w:t>e</w:t>
      </w:r>
      <w:r>
        <w:t>.</w:t>
      </w:r>
      <w:r w:rsidR="00B764E0">
        <w:t>g</w:t>
      </w:r>
      <w:r>
        <w:t>. 10 hours due by the end of Week 5, 30 hours due by the end of Week 10, and 50 hours</w:t>
      </w:r>
      <w:r w:rsidR="00B764E0">
        <w:t xml:space="preserve"> due by the end of Week 15 or similar)</w:t>
      </w:r>
      <w:r>
        <w:t xml:space="preserve">, to help students pace their time throughout the course. </w:t>
      </w:r>
    </w:p>
    <w:p w14:paraId="460A2D3A" w14:textId="3BB30753" w:rsidR="00B764E0" w:rsidRDefault="00B764E0" w:rsidP="004E7705">
      <w:pPr>
        <w:pStyle w:val="ListParagraph"/>
        <w:numPr>
          <w:ilvl w:val="1"/>
          <w:numId w:val="9"/>
        </w:numPr>
      </w:pPr>
      <w:r>
        <w:rPr>
          <w:i/>
          <w:iCs/>
        </w:rPr>
        <w:t>Recommendation:</w:t>
      </w:r>
      <w:r>
        <w:t xml:space="preserve"> The Subcommittee recommends removing all but one of the Mental Health statements on pp. 16-18 of the syllabus; only the statement from the campus of offering should be used, </w:t>
      </w:r>
      <w:r w:rsidR="00EA26DE">
        <w:t>though</w:t>
      </w:r>
      <w:r>
        <w:t xml:space="preserve"> students from multiple campuses may potentially enroll in the course.</w:t>
      </w:r>
    </w:p>
    <w:p w14:paraId="46A20A4D" w14:textId="62237CEF" w:rsidR="009B5FB3" w:rsidRDefault="009B5FB3" w:rsidP="00382BAC">
      <w:pPr>
        <w:pStyle w:val="ListParagraph"/>
        <w:numPr>
          <w:ilvl w:val="1"/>
          <w:numId w:val="9"/>
        </w:numPr>
      </w:pPr>
      <w:r>
        <w:t>McKean, Brello</w:t>
      </w:r>
      <w:r w:rsidR="00713589">
        <w:t>;</w:t>
      </w:r>
      <w:r>
        <w:t xml:space="preserve"> approved with </w:t>
      </w:r>
      <w:r w:rsidR="00B764E0">
        <w:rPr>
          <w:b/>
          <w:bCs/>
        </w:rPr>
        <w:t xml:space="preserve">six </w:t>
      </w:r>
      <w:r w:rsidR="00B764E0" w:rsidRPr="00B764E0">
        <w:rPr>
          <w:b/>
          <w:bCs/>
        </w:rPr>
        <w:t>contingencies</w:t>
      </w:r>
      <w:r w:rsidR="00B764E0">
        <w:t xml:space="preserve"> (in bold above) and </w:t>
      </w:r>
      <w:r w:rsidR="00B764E0">
        <w:rPr>
          <w:i/>
          <w:iCs/>
        </w:rPr>
        <w:t xml:space="preserve">two recommendations </w:t>
      </w:r>
      <w:r w:rsidR="00B764E0">
        <w:t>(in italics above).</w:t>
      </w:r>
    </w:p>
    <w:p w14:paraId="67D76F71" w14:textId="77777777" w:rsidR="00B764E0" w:rsidRDefault="00B764E0" w:rsidP="00B764E0">
      <w:pPr>
        <w:pStyle w:val="ListParagraph"/>
        <w:ind w:left="1440"/>
      </w:pPr>
    </w:p>
    <w:p w14:paraId="435A1793" w14:textId="61519CD5" w:rsidR="009A413A" w:rsidRDefault="00C919CD" w:rsidP="009A413A">
      <w:pPr>
        <w:pStyle w:val="ListParagraph"/>
        <w:numPr>
          <w:ilvl w:val="0"/>
          <w:numId w:val="9"/>
        </w:numPr>
      </w:pPr>
      <w:r>
        <w:t>New Certificate in Bilingual Speech-Language Pathology</w:t>
      </w:r>
    </w:p>
    <w:p w14:paraId="47DA9833" w14:textId="2BD32FB2" w:rsidR="009B5FB3" w:rsidRDefault="009B5FB3" w:rsidP="00715F47">
      <w:pPr>
        <w:pStyle w:val="ListParagraph"/>
        <w:numPr>
          <w:ilvl w:val="1"/>
          <w:numId w:val="9"/>
        </w:numPr>
      </w:pPr>
      <w:r>
        <w:t xml:space="preserve">Comment: </w:t>
      </w:r>
      <w:r w:rsidR="007301CF">
        <w:t>The Subcommittee notes that it will be important for the department to obtain and publicly share information regarding how students who are not in an existing graduate program (i.e., “stand alone” certificate students) will obtain admission to the program</w:t>
      </w:r>
      <w:r w:rsidR="00EA26DE">
        <w:t>/the graduate school</w:t>
      </w:r>
      <w:r w:rsidR="007301CF">
        <w:t>.</w:t>
      </w:r>
    </w:p>
    <w:p w14:paraId="3A7835F3" w14:textId="292B183A" w:rsidR="00727D33" w:rsidRDefault="00727D33" w:rsidP="00715F47">
      <w:pPr>
        <w:pStyle w:val="ListParagraph"/>
        <w:numPr>
          <w:ilvl w:val="1"/>
          <w:numId w:val="9"/>
        </w:numPr>
      </w:pPr>
      <w:r>
        <w:t xml:space="preserve">Comment: </w:t>
      </w:r>
      <w:r w:rsidR="007301CF">
        <w:t>The Subcommittee offers the friendly suggestion tha</w:t>
      </w:r>
      <w:r w:rsidR="008C7325">
        <w:t xml:space="preserve">t, in the future, </w:t>
      </w:r>
      <w:r w:rsidR="007301CF">
        <w:t>the program consider seeking out elective courses that would support the study of Ohio’s indigenous languages</w:t>
      </w:r>
      <w:r w:rsidR="008C7325">
        <w:t xml:space="preserve"> or the languages of Ohio’s prominent immigrant communities</w:t>
      </w:r>
      <w:r w:rsidR="002A5922">
        <w:t xml:space="preserve"> beyond Spanish</w:t>
      </w:r>
      <w:r w:rsidR="008C7325">
        <w:t>.</w:t>
      </w:r>
    </w:p>
    <w:p w14:paraId="7D3F64D7" w14:textId="7FF45F53" w:rsidR="00925EAB" w:rsidRDefault="00925EAB" w:rsidP="00715F47">
      <w:pPr>
        <w:pStyle w:val="ListParagraph"/>
        <w:numPr>
          <w:ilvl w:val="1"/>
          <w:numId w:val="9"/>
        </w:numPr>
      </w:pPr>
      <w:r>
        <w:rPr>
          <w:b/>
          <w:bCs/>
        </w:rPr>
        <w:t xml:space="preserve">Contingency: </w:t>
      </w:r>
      <w:r w:rsidR="00432F7F">
        <w:t>The Subcommittee asks that the department include in the proposal information about whether the certificate is open to graduate students in other programs.  While the Subcommittee understand</w:t>
      </w:r>
      <w:r w:rsidR="00EA26DE">
        <w:t>s</w:t>
      </w:r>
      <w:r w:rsidR="00432F7F">
        <w:t xml:space="preserve"> that this program is aimed at those who are training to be speech pathologists (at Ohio State and other institutions) or licensed/practicing professionals in the field, they note that there may be interest from those in adjacent fields</w:t>
      </w:r>
      <w:r w:rsidR="00EA26DE">
        <w:t>/programs</w:t>
      </w:r>
      <w:r w:rsidR="00432F7F">
        <w:t>.</w:t>
      </w:r>
    </w:p>
    <w:p w14:paraId="69AE7F51" w14:textId="5715091C" w:rsidR="002A5922" w:rsidRDefault="002A5922" w:rsidP="002A5922">
      <w:pPr>
        <w:pStyle w:val="ListParagraph"/>
        <w:numPr>
          <w:ilvl w:val="1"/>
          <w:numId w:val="9"/>
        </w:numPr>
      </w:pPr>
      <w:r w:rsidRPr="00813ACF">
        <w:rPr>
          <w:b/>
          <w:bCs/>
        </w:rPr>
        <w:t>Contingency</w:t>
      </w:r>
      <w:r>
        <w:t>: The Subcommittee asks that the department provide a clean copy of the proposal (without the earlier comments).</w:t>
      </w:r>
    </w:p>
    <w:p w14:paraId="4706FB5A" w14:textId="6044EB73" w:rsidR="00432F7F" w:rsidRDefault="00432F7F" w:rsidP="00715F47">
      <w:pPr>
        <w:pStyle w:val="ListParagraph"/>
        <w:numPr>
          <w:ilvl w:val="1"/>
          <w:numId w:val="9"/>
        </w:numPr>
      </w:pPr>
      <w:r>
        <w:rPr>
          <w:b/>
          <w:bCs/>
        </w:rPr>
        <w:t>Contingency:</w:t>
      </w:r>
      <w:r>
        <w:t xml:space="preserve"> The Subcommittee </w:t>
      </w:r>
      <w:r w:rsidR="00FA7057">
        <w:t>requests that the department remove from the Assessment Plan (proposal, p. 6) mention of thesis research, as that cannot be used to assess the certificate program.</w:t>
      </w:r>
    </w:p>
    <w:p w14:paraId="3A77EFCD" w14:textId="6E2F72FA" w:rsidR="00FA7057" w:rsidRDefault="00FA7057" w:rsidP="00715F47">
      <w:pPr>
        <w:pStyle w:val="ListParagraph"/>
        <w:numPr>
          <w:ilvl w:val="1"/>
          <w:numId w:val="9"/>
        </w:numPr>
      </w:pPr>
      <w:r>
        <w:rPr>
          <w:b/>
          <w:bCs/>
        </w:rPr>
        <w:t>Contingency:</w:t>
      </w:r>
      <w:r>
        <w:t xml:space="preserve"> The Subcommittee asks that the department consider the placement of the language "Petition for Elective Course Approval – can petition to add a 5000+ course – see below” in the proposal.  Currently, this appears under the heading “Languages other than Spanish” (proposal, p. 14)</w:t>
      </w:r>
      <w:r w:rsidR="005203A5">
        <w:t>, but the Subcommittee assumes that this could be from any World Language or related department.  If this is the case, the notation should be placed at the beginning or the end of the Elective Chart that begins on p. 12 of the proposal.</w:t>
      </w:r>
    </w:p>
    <w:p w14:paraId="0EE83E00" w14:textId="08E3ED72" w:rsidR="005203A5" w:rsidRDefault="005203A5" w:rsidP="00715F47">
      <w:pPr>
        <w:pStyle w:val="ListParagraph"/>
        <w:numPr>
          <w:ilvl w:val="1"/>
          <w:numId w:val="9"/>
        </w:numPr>
      </w:pPr>
      <w:r>
        <w:rPr>
          <w:b/>
          <w:bCs/>
        </w:rPr>
        <w:t>Contingency:</w:t>
      </w:r>
      <w:r>
        <w:t xml:space="preserve"> The Subcommittee requests that the department correct the departmental abbreviation for Educational Studies 5777</w:t>
      </w:r>
      <w:r w:rsidR="00EA26DE">
        <w:t xml:space="preserve"> on pp. 16 and 21 of the proposal</w:t>
      </w:r>
      <w:r>
        <w:t>.  Currently it reads “ECUCST”; it should read “EDUCST”.</w:t>
      </w:r>
    </w:p>
    <w:p w14:paraId="0750296D" w14:textId="116753A7" w:rsidR="005203A5" w:rsidRDefault="005203A5" w:rsidP="00715F47">
      <w:pPr>
        <w:pStyle w:val="ListParagraph"/>
        <w:numPr>
          <w:ilvl w:val="1"/>
          <w:numId w:val="9"/>
        </w:numPr>
      </w:pPr>
      <w:r>
        <w:rPr>
          <w:b/>
          <w:bCs/>
        </w:rPr>
        <w:t>Contingency:</w:t>
      </w:r>
      <w:r>
        <w:t xml:space="preserve"> The Subcommittee requests that the department </w:t>
      </w:r>
      <w:r w:rsidR="004E136E">
        <w:t>alter the listing of Spanish 8390 on pp. 14 and 2</w:t>
      </w:r>
      <w:r w:rsidR="002A5922">
        <w:t>1</w:t>
      </w:r>
      <w:r w:rsidR="004E136E">
        <w:t xml:space="preserve"> of the proposal.  They note that “Seminar in Bilingualism Acquisition Research” is not a part of the title of this course, as 8390 is a variable topics course, and does not always include the study of bilingualism.</w:t>
      </w:r>
      <w:r w:rsidR="002A5922">
        <w:t xml:space="preserve">  (The official title of the course is “Seminar in Spanish Linguistics.”)</w:t>
      </w:r>
      <w:r w:rsidR="004E136E">
        <w:t xml:space="preserve">  It should be clearly noted in both places that this course will only count toward the certificate with a topic focused on bilingualism.  Alternatively, the department may </w:t>
      </w:r>
      <w:r w:rsidR="002A5922">
        <w:t>wish</w:t>
      </w:r>
      <w:r w:rsidR="004E136E">
        <w:t xml:space="preserve"> to remove it from the proposal entirely and require that students petition should they wish to utilize this course when an appropriate topic is offered.</w:t>
      </w:r>
    </w:p>
    <w:p w14:paraId="4E5E81EE" w14:textId="3C445763" w:rsidR="009155CF" w:rsidRDefault="009155CF" w:rsidP="00715F47">
      <w:pPr>
        <w:pStyle w:val="ListParagraph"/>
        <w:numPr>
          <w:ilvl w:val="1"/>
          <w:numId w:val="9"/>
        </w:numPr>
      </w:pPr>
      <w:r>
        <w:rPr>
          <w:b/>
          <w:bCs/>
        </w:rPr>
        <w:t>Contingency:</w:t>
      </w:r>
      <w:r>
        <w:t xml:space="preserve"> The Subcommittee asks that the department correct the course description for Spanish 7340 on p. 13 of the proposal, as the given description is actually for Spanish 7430 rather than 7340.</w:t>
      </w:r>
    </w:p>
    <w:p w14:paraId="1555644C" w14:textId="40832190" w:rsidR="00780575" w:rsidRDefault="00780575" w:rsidP="00715F47">
      <w:pPr>
        <w:pStyle w:val="ListParagraph"/>
        <w:numPr>
          <w:ilvl w:val="1"/>
          <w:numId w:val="9"/>
        </w:numPr>
      </w:pPr>
      <w:r>
        <w:t>Xiao, McKean; unanimously approved</w:t>
      </w:r>
      <w:r w:rsidR="009155CF">
        <w:t xml:space="preserve"> with </w:t>
      </w:r>
      <w:r w:rsidR="002A5922">
        <w:rPr>
          <w:b/>
          <w:bCs/>
        </w:rPr>
        <w:t>seven</w:t>
      </w:r>
      <w:r w:rsidR="009155CF">
        <w:rPr>
          <w:b/>
          <w:bCs/>
        </w:rPr>
        <w:t xml:space="preserve"> contingencies </w:t>
      </w:r>
      <w:r w:rsidR="009155CF">
        <w:t>(in bold above).</w:t>
      </w:r>
    </w:p>
    <w:p w14:paraId="687C3C99" w14:textId="77777777" w:rsidR="009155CF" w:rsidRDefault="009155CF" w:rsidP="009155CF">
      <w:pPr>
        <w:pStyle w:val="ListParagraph"/>
        <w:ind w:left="1440"/>
      </w:pPr>
    </w:p>
    <w:p w14:paraId="098849ED" w14:textId="6B144451" w:rsidR="00DE1ACD" w:rsidRDefault="00C919CD" w:rsidP="00C919CD">
      <w:pPr>
        <w:pStyle w:val="ListParagraph"/>
        <w:numPr>
          <w:ilvl w:val="0"/>
          <w:numId w:val="9"/>
        </w:numPr>
      </w:pPr>
      <w:r>
        <w:t>Suspension of the Sociology Bachelor of Science</w:t>
      </w:r>
    </w:p>
    <w:p w14:paraId="7EC63129" w14:textId="44E8E8F3" w:rsidR="00780575" w:rsidRDefault="00780575" w:rsidP="002C18B3">
      <w:pPr>
        <w:pStyle w:val="ListParagraph"/>
        <w:numPr>
          <w:ilvl w:val="1"/>
          <w:numId w:val="9"/>
        </w:numPr>
      </w:pPr>
      <w:r>
        <w:t xml:space="preserve">Comment: </w:t>
      </w:r>
      <w:r w:rsidR="00B764E0">
        <w:t>The Subcommittee notes that the suspension of the program will be effective immediately upon approval of the Committee on Academic Affairs</w:t>
      </w:r>
      <w:r w:rsidR="002C18B3">
        <w:t>; thus, student-facing materials (websites, etc.) should use the date of AU25</w:t>
      </w:r>
      <w:r w:rsidR="00B764E0">
        <w:t xml:space="preserve">.  </w:t>
      </w:r>
      <w:r w:rsidR="002C18B3">
        <w:t>Students currently in the program will not be affected; suspension means that the program will be</w:t>
      </w:r>
      <w:r w:rsidR="009155CF">
        <w:t xml:space="preserve"> </w:t>
      </w:r>
      <w:r w:rsidR="002C18B3">
        <w:t>withdrawn after 5 years.</w:t>
      </w:r>
    </w:p>
    <w:p w14:paraId="1652E250" w14:textId="6DF64CA6" w:rsidR="00780575" w:rsidRDefault="00780575" w:rsidP="00780575">
      <w:pPr>
        <w:pStyle w:val="ListParagraph"/>
        <w:numPr>
          <w:ilvl w:val="1"/>
          <w:numId w:val="9"/>
        </w:numPr>
      </w:pPr>
      <w:r>
        <w:t>McKean, Xiao; unanimously approved</w:t>
      </w:r>
      <w:r w:rsidR="002C18B3">
        <w:t>.</w:t>
      </w:r>
    </w:p>
    <w:sectPr w:rsidR="00780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7DDF"/>
    <w:multiLevelType w:val="hybridMultilevel"/>
    <w:tmpl w:val="58A40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E4912"/>
    <w:multiLevelType w:val="multilevel"/>
    <w:tmpl w:val="E43ED1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812195"/>
    <w:multiLevelType w:val="hybridMultilevel"/>
    <w:tmpl w:val="14985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507AE"/>
    <w:multiLevelType w:val="hybridMultilevel"/>
    <w:tmpl w:val="A3546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002019"/>
    <w:multiLevelType w:val="multilevel"/>
    <w:tmpl w:val="223CD5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3A7117"/>
    <w:multiLevelType w:val="hybridMultilevel"/>
    <w:tmpl w:val="5DFACC2A"/>
    <w:lvl w:ilvl="0" w:tplc="EB78F11C">
      <w:start w:val="1"/>
      <w:numFmt w:val="decimal"/>
      <w:lvlText w:val="%1."/>
      <w:lvlJc w:val="left"/>
      <w:pPr>
        <w:ind w:left="850" w:hanging="4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F065F"/>
    <w:multiLevelType w:val="hybridMultilevel"/>
    <w:tmpl w:val="E61090FC"/>
    <w:lvl w:ilvl="0" w:tplc="2C6EFDA2">
      <w:start w:val="1"/>
      <w:numFmt w:val="decimal"/>
      <w:lvlText w:val="%1."/>
      <w:lvlJc w:val="left"/>
      <w:pPr>
        <w:ind w:left="720" w:hanging="360"/>
      </w:pPr>
      <w:rPr>
        <w:rFonts w:cs="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DF7AE9"/>
    <w:multiLevelType w:val="hybridMultilevel"/>
    <w:tmpl w:val="2FEE2ED8"/>
    <w:lvl w:ilvl="0" w:tplc="F3FEEEC8">
      <w:start w:val="1"/>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688234">
    <w:abstractNumId w:val="0"/>
  </w:num>
  <w:num w:numId="2" w16cid:durableId="1830828829">
    <w:abstractNumId w:val="6"/>
  </w:num>
  <w:num w:numId="3" w16cid:durableId="8872543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6793721">
    <w:abstractNumId w:val="5"/>
  </w:num>
  <w:num w:numId="5" w16cid:durableId="1387221097">
    <w:abstractNumId w:val="4"/>
  </w:num>
  <w:num w:numId="6" w16cid:durableId="107623758">
    <w:abstractNumId w:val="2"/>
  </w:num>
  <w:num w:numId="7" w16cid:durableId="366611199">
    <w:abstractNumId w:val="8"/>
  </w:num>
  <w:num w:numId="8" w16cid:durableId="1555505281">
    <w:abstractNumId w:val="1"/>
  </w:num>
  <w:num w:numId="9" w16cid:durableId="598290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21"/>
    <w:rsid w:val="000337C5"/>
    <w:rsid w:val="00037ACC"/>
    <w:rsid w:val="000469EB"/>
    <w:rsid w:val="000646E1"/>
    <w:rsid w:val="00082B7F"/>
    <w:rsid w:val="000834B1"/>
    <w:rsid w:val="0009398A"/>
    <w:rsid w:val="000B6BCA"/>
    <w:rsid w:val="001032AB"/>
    <w:rsid w:val="001402DC"/>
    <w:rsid w:val="00153E20"/>
    <w:rsid w:val="00162C87"/>
    <w:rsid w:val="001654F3"/>
    <w:rsid w:val="001679C4"/>
    <w:rsid w:val="001747D1"/>
    <w:rsid w:val="0017727A"/>
    <w:rsid w:val="00180500"/>
    <w:rsid w:val="001C1D1E"/>
    <w:rsid w:val="001F25B4"/>
    <w:rsid w:val="00206D78"/>
    <w:rsid w:val="00216124"/>
    <w:rsid w:val="00226A85"/>
    <w:rsid w:val="00227230"/>
    <w:rsid w:val="002327A2"/>
    <w:rsid w:val="0024678F"/>
    <w:rsid w:val="00246CBE"/>
    <w:rsid w:val="002662D8"/>
    <w:rsid w:val="002722F3"/>
    <w:rsid w:val="00273201"/>
    <w:rsid w:val="002801B8"/>
    <w:rsid w:val="0029429E"/>
    <w:rsid w:val="002A5922"/>
    <w:rsid w:val="002A7C02"/>
    <w:rsid w:val="002C065C"/>
    <w:rsid w:val="002C18B3"/>
    <w:rsid w:val="002C5DEF"/>
    <w:rsid w:val="002D511B"/>
    <w:rsid w:val="002F2F8E"/>
    <w:rsid w:val="0034253E"/>
    <w:rsid w:val="00362074"/>
    <w:rsid w:val="00363B53"/>
    <w:rsid w:val="003661D0"/>
    <w:rsid w:val="00382224"/>
    <w:rsid w:val="00382BAC"/>
    <w:rsid w:val="00395DD8"/>
    <w:rsid w:val="003C5587"/>
    <w:rsid w:val="003D3416"/>
    <w:rsid w:val="003D6F81"/>
    <w:rsid w:val="003F1D11"/>
    <w:rsid w:val="00405FCE"/>
    <w:rsid w:val="00420CE9"/>
    <w:rsid w:val="00421FF1"/>
    <w:rsid w:val="00432F7F"/>
    <w:rsid w:val="00451825"/>
    <w:rsid w:val="004666A2"/>
    <w:rsid w:val="00472E1B"/>
    <w:rsid w:val="004804D6"/>
    <w:rsid w:val="004A0139"/>
    <w:rsid w:val="004A3E26"/>
    <w:rsid w:val="004E136E"/>
    <w:rsid w:val="004E7705"/>
    <w:rsid w:val="00500ABF"/>
    <w:rsid w:val="00510AB6"/>
    <w:rsid w:val="005127E4"/>
    <w:rsid w:val="005203A5"/>
    <w:rsid w:val="005272F9"/>
    <w:rsid w:val="00556841"/>
    <w:rsid w:val="00564CA0"/>
    <w:rsid w:val="0059726A"/>
    <w:rsid w:val="005C0F8A"/>
    <w:rsid w:val="005D297C"/>
    <w:rsid w:val="006010DF"/>
    <w:rsid w:val="00627935"/>
    <w:rsid w:val="00633C53"/>
    <w:rsid w:val="006354BB"/>
    <w:rsid w:val="00637F6F"/>
    <w:rsid w:val="00643792"/>
    <w:rsid w:val="00643A0A"/>
    <w:rsid w:val="006575C1"/>
    <w:rsid w:val="006705F5"/>
    <w:rsid w:val="00670F85"/>
    <w:rsid w:val="006B7E47"/>
    <w:rsid w:val="006D7437"/>
    <w:rsid w:val="006E5205"/>
    <w:rsid w:val="00701276"/>
    <w:rsid w:val="00713058"/>
    <w:rsid w:val="00713589"/>
    <w:rsid w:val="00715DA7"/>
    <w:rsid w:val="00715F47"/>
    <w:rsid w:val="00716383"/>
    <w:rsid w:val="0072192F"/>
    <w:rsid w:val="00727D33"/>
    <w:rsid w:val="007301CF"/>
    <w:rsid w:val="00733847"/>
    <w:rsid w:val="00765B85"/>
    <w:rsid w:val="00780575"/>
    <w:rsid w:val="007848CE"/>
    <w:rsid w:val="00786A39"/>
    <w:rsid w:val="00790A74"/>
    <w:rsid w:val="00796927"/>
    <w:rsid w:val="00796CDF"/>
    <w:rsid w:val="007A5324"/>
    <w:rsid w:val="007A5907"/>
    <w:rsid w:val="007B1976"/>
    <w:rsid w:val="007B54FD"/>
    <w:rsid w:val="007B5D86"/>
    <w:rsid w:val="007D4D8B"/>
    <w:rsid w:val="007E537F"/>
    <w:rsid w:val="00845F91"/>
    <w:rsid w:val="00884F3F"/>
    <w:rsid w:val="008A6B4B"/>
    <w:rsid w:val="008B3BE0"/>
    <w:rsid w:val="008B5BF7"/>
    <w:rsid w:val="008C0704"/>
    <w:rsid w:val="008C7325"/>
    <w:rsid w:val="008D7AC1"/>
    <w:rsid w:val="008E1C21"/>
    <w:rsid w:val="008E2A29"/>
    <w:rsid w:val="008E2E60"/>
    <w:rsid w:val="008F321A"/>
    <w:rsid w:val="009155CF"/>
    <w:rsid w:val="00925EAB"/>
    <w:rsid w:val="00974553"/>
    <w:rsid w:val="00981BC7"/>
    <w:rsid w:val="00984FA1"/>
    <w:rsid w:val="009A413A"/>
    <w:rsid w:val="009A6ADF"/>
    <w:rsid w:val="009B551B"/>
    <w:rsid w:val="009B5FB3"/>
    <w:rsid w:val="009C5C8E"/>
    <w:rsid w:val="009E679A"/>
    <w:rsid w:val="009F0E5A"/>
    <w:rsid w:val="00A1369D"/>
    <w:rsid w:val="00A27330"/>
    <w:rsid w:val="00A4016F"/>
    <w:rsid w:val="00A46844"/>
    <w:rsid w:val="00A53B4D"/>
    <w:rsid w:val="00A669DF"/>
    <w:rsid w:val="00A75802"/>
    <w:rsid w:val="00A90BEC"/>
    <w:rsid w:val="00AC06EC"/>
    <w:rsid w:val="00AC601B"/>
    <w:rsid w:val="00AD5A41"/>
    <w:rsid w:val="00AE3D0D"/>
    <w:rsid w:val="00AE7AC3"/>
    <w:rsid w:val="00B307BA"/>
    <w:rsid w:val="00B35BCF"/>
    <w:rsid w:val="00B42BD4"/>
    <w:rsid w:val="00B559B3"/>
    <w:rsid w:val="00B652D9"/>
    <w:rsid w:val="00B70AAF"/>
    <w:rsid w:val="00B764E0"/>
    <w:rsid w:val="00B820BC"/>
    <w:rsid w:val="00BD54E6"/>
    <w:rsid w:val="00BE3197"/>
    <w:rsid w:val="00BF448C"/>
    <w:rsid w:val="00C26B01"/>
    <w:rsid w:val="00C40224"/>
    <w:rsid w:val="00C919CD"/>
    <w:rsid w:val="00C935C9"/>
    <w:rsid w:val="00CA67A0"/>
    <w:rsid w:val="00CC0598"/>
    <w:rsid w:val="00CC4178"/>
    <w:rsid w:val="00D07A74"/>
    <w:rsid w:val="00D140CE"/>
    <w:rsid w:val="00D16473"/>
    <w:rsid w:val="00D205C7"/>
    <w:rsid w:val="00D330D4"/>
    <w:rsid w:val="00D6156D"/>
    <w:rsid w:val="00D61FA2"/>
    <w:rsid w:val="00D76A36"/>
    <w:rsid w:val="00DA3264"/>
    <w:rsid w:val="00DA4E23"/>
    <w:rsid w:val="00DB0811"/>
    <w:rsid w:val="00DB40B5"/>
    <w:rsid w:val="00DD02F2"/>
    <w:rsid w:val="00DD40FB"/>
    <w:rsid w:val="00DD6771"/>
    <w:rsid w:val="00DE1ACD"/>
    <w:rsid w:val="00DF7917"/>
    <w:rsid w:val="00E00A1F"/>
    <w:rsid w:val="00E05FC4"/>
    <w:rsid w:val="00E1128D"/>
    <w:rsid w:val="00E336B8"/>
    <w:rsid w:val="00E51494"/>
    <w:rsid w:val="00E70D88"/>
    <w:rsid w:val="00E74CDE"/>
    <w:rsid w:val="00E848DF"/>
    <w:rsid w:val="00E8581A"/>
    <w:rsid w:val="00E97DB8"/>
    <w:rsid w:val="00EA26DE"/>
    <w:rsid w:val="00F00EB6"/>
    <w:rsid w:val="00F27321"/>
    <w:rsid w:val="00F71CE3"/>
    <w:rsid w:val="00F87113"/>
    <w:rsid w:val="00FA2059"/>
    <w:rsid w:val="00FA7057"/>
    <w:rsid w:val="00FB6EEF"/>
    <w:rsid w:val="00FB77D3"/>
    <w:rsid w:val="00FD6263"/>
    <w:rsid w:val="00FE5300"/>
    <w:rsid w:val="00F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EFD1"/>
  <w15:chartTrackingRefBased/>
  <w15:docId w15:val="{22AE9AA3-9033-4B7C-B14A-8982F965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321"/>
  </w:style>
  <w:style w:type="paragraph" w:styleId="Heading1">
    <w:name w:val="heading 1"/>
    <w:basedOn w:val="Normal"/>
    <w:next w:val="Normal"/>
    <w:link w:val="Heading1Char"/>
    <w:uiPriority w:val="9"/>
    <w:qFormat/>
    <w:rsid w:val="00F27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321"/>
    <w:rPr>
      <w:rFonts w:eastAsiaTheme="majorEastAsia" w:cstheme="majorBidi"/>
      <w:color w:val="272727" w:themeColor="text1" w:themeTint="D8"/>
    </w:rPr>
  </w:style>
  <w:style w:type="paragraph" w:styleId="Title">
    <w:name w:val="Title"/>
    <w:basedOn w:val="Normal"/>
    <w:next w:val="Normal"/>
    <w:link w:val="TitleChar"/>
    <w:uiPriority w:val="10"/>
    <w:qFormat/>
    <w:rsid w:val="00F27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321"/>
    <w:pPr>
      <w:spacing w:before="160"/>
      <w:jc w:val="center"/>
    </w:pPr>
    <w:rPr>
      <w:i/>
      <w:iCs/>
      <w:color w:val="404040" w:themeColor="text1" w:themeTint="BF"/>
    </w:rPr>
  </w:style>
  <w:style w:type="character" w:customStyle="1" w:styleId="QuoteChar">
    <w:name w:val="Quote Char"/>
    <w:basedOn w:val="DefaultParagraphFont"/>
    <w:link w:val="Quote"/>
    <w:uiPriority w:val="29"/>
    <w:rsid w:val="00F27321"/>
    <w:rPr>
      <w:i/>
      <w:iCs/>
      <w:color w:val="404040" w:themeColor="text1" w:themeTint="BF"/>
    </w:rPr>
  </w:style>
  <w:style w:type="paragraph" w:styleId="ListParagraph">
    <w:name w:val="List Paragraph"/>
    <w:basedOn w:val="Normal"/>
    <w:uiPriority w:val="34"/>
    <w:qFormat/>
    <w:rsid w:val="00F27321"/>
    <w:pPr>
      <w:ind w:left="720"/>
      <w:contextualSpacing/>
    </w:pPr>
  </w:style>
  <w:style w:type="character" w:styleId="IntenseEmphasis">
    <w:name w:val="Intense Emphasis"/>
    <w:basedOn w:val="DefaultParagraphFont"/>
    <w:uiPriority w:val="21"/>
    <w:qFormat/>
    <w:rsid w:val="00F27321"/>
    <w:rPr>
      <w:i/>
      <w:iCs/>
      <w:color w:val="0F4761" w:themeColor="accent1" w:themeShade="BF"/>
    </w:rPr>
  </w:style>
  <w:style w:type="paragraph" w:styleId="IntenseQuote">
    <w:name w:val="Intense Quote"/>
    <w:basedOn w:val="Normal"/>
    <w:next w:val="Normal"/>
    <w:link w:val="IntenseQuoteChar"/>
    <w:uiPriority w:val="30"/>
    <w:qFormat/>
    <w:rsid w:val="00F27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321"/>
    <w:rPr>
      <w:i/>
      <w:iCs/>
      <w:color w:val="0F4761" w:themeColor="accent1" w:themeShade="BF"/>
    </w:rPr>
  </w:style>
  <w:style w:type="character" w:styleId="IntenseReference">
    <w:name w:val="Intense Reference"/>
    <w:basedOn w:val="DefaultParagraphFont"/>
    <w:uiPriority w:val="32"/>
    <w:qFormat/>
    <w:rsid w:val="00F27321"/>
    <w:rPr>
      <w:b/>
      <w:bCs/>
      <w:smallCaps/>
      <w:color w:val="0F4761" w:themeColor="accent1" w:themeShade="BF"/>
      <w:spacing w:val="5"/>
    </w:rPr>
  </w:style>
  <w:style w:type="character" w:styleId="Hyperlink">
    <w:name w:val="Hyperlink"/>
    <w:basedOn w:val="DefaultParagraphFont"/>
    <w:uiPriority w:val="99"/>
    <w:unhideWhenUsed/>
    <w:rsid w:val="00F27321"/>
    <w:rPr>
      <w:color w:val="467886" w:themeColor="hyperlink"/>
      <w:u w:val="single"/>
    </w:rPr>
  </w:style>
  <w:style w:type="character" w:styleId="UnresolvedMention">
    <w:name w:val="Unresolved Mention"/>
    <w:basedOn w:val="DefaultParagraphFont"/>
    <w:uiPriority w:val="99"/>
    <w:semiHidden/>
    <w:unhideWhenUsed/>
    <w:rsid w:val="00F27321"/>
    <w:rPr>
      <w:color w:val="605E5C"/>
      <w:shd w:val="clear" w:color="auto" w:fill="E1DFDD"/>
    </w:rPr>
  </w:style>
  <w:style w:type="paragraph" w:styleId="Revision">
    <w:name w:val="Revision"/>
    <w:hidden/>
    <w:uiPriority w:val="99"/>
    <w:semiHidden/>
    <w:rsid w:val="003D3416"/>
    <w:pPr>
      <w:spacing w:after="0" w:line="240" w:lineRule="auto"/>
    </w:pPr>
  </w:style>
  <w:style w:type="character" w:styleId="CommentReference">
    <w:name w:val="annotation reference"/>
    <w:basedOn w:val="DefaultParagraphFont"/>
    <w:uiPriority w:val="99"/>
    <w:semiHidden/>
    <w:unhideWhenUsed/>
    <w:rsid w:val="00E97DB8"/>
    <w:rPr>
      <w:sz w:val="16"/>
      <w:szCs w:val="16"/>
    </w:rPr>
  </w:style>
  <w:style w:type="paragraph" w:styleId="CommentText">
    <w:name w:val="annotation text"/>
    <w:basedOn w:val="Normal"/>
    <w:link w:val="CommentTextChar"/>
    <w:uiPriority w:val="99"/>
    <w:unhideWhenUsed/>
    <w:rsid w:val="00E97DB8"/>
    <w:pPr>
      <w:spacing w:line="240" w:lineRule="auto"/>
    </w:pPr>
    <w:rPr>
      <w:sz w:val="20"/>
      <w:szCs w:val="20"/>
    </w:rPr>
  </w:style>
  <w:style w:type="character" w:customStyle="1" w:styleId="CommentTextChar">
    <w:name w:val="Comment Text Char"/>
    <w:basedOn w:val="DefaultParagraphFont"/>
    <w:link w:val="CommentText"/>
    <w:uiPriority w:val="99"/>
    <w:rsid w:val="00E97DB8"/>
    <w:rPr>
      <w:sz w:val="20"/>
      <w:szCs w:val="20"/>
    </w:rPr>
  </w:style>
  <w:style w:type="paragraph" w:styleId="CommentSubject">
    <w:name w:val="annotation subject"/>
    <w:basedOn w:val="CommentText"/>
    <w:next w:val="CommentText"/>
    <w:link w:val="CommentSubjectChar"/>
    <w:uiPriority w:val="99"/>
    <w:semiHidden/>
    <w:unhideWhenUsed/>
    <w:rsid w:val="00E97DB8"/>
    <w:rPr>
      <w:b/>
      <w:bCs/>
    </w:rPr>
  </w:style>
  <w:style w:type="character" w:customStyle="1" w:styleId="CommentSubjectChar">
    <w:name w:val="Comment Subject Char"/>
    <w:basedOn w:val="CommentTextChar"/>
    <w:link w:val="CommentSubject"/>
    <w:uiPriority w:val="99"/>
    <w:semiHidden/>
    <w:rsid w:val="00E97DB8"/>
    <w:rPr>
      <w:b/>
      <w:bCs/>
      <w:sz w:val="20"/>
      <w:szCs w:val="20"/>
    </w:rPr>
  </w:style>
  <w:style w:type="character" w:styleId="FollowedHyperlink">
    <w:name w:val="FollowedHyperlink"/>
    <w:basedOn w:val="DefaultParagraphFont"/>
    <w:uiPriority w:val="99"/>
    <w:semiHidden/>
    <w:unhideWhenUsed/>
    <w:rsid w:val="00D140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123">
      <w:bodyDiv w:val="1"/>
      <w:marLeft w:val="0"/>
      <w:marRight w:val="0"/>
      <w:marTop w:val="0"/>
      <w:marBottom w:val="0"/>
      <w:divBdr>
        <w:top w:val="none" w:sz="0" w:space="0" w:color="auto"/>
        <w:left w:val="none" w:sz="0" w:space="0" w:color="auto"/>
        <w:bottom w:val="none" w:sz="0" w:space="0" w:color="auto"/>
        <w:right w:val="none" w:sz="0" w:space="0" w:color="auto"/>
      </w:divBdr>
    </w:div>
    <w:div w:id="180976055">
      <w:bodyDiv w:val="1"/>
      <w:marLeft w:val="0"/>
      <w:marRight w:val="0"/>
      <w:marTop w:val="0"/>
      <w:marBottom w:val="0"/>
      <w:divBdr>
        <w:top w:val="none" w:sz="0" w:space="0" w:color="auto"/>
        <w:left w:val="none" w:sz="0" w:space="0" w:color="auto"/>
        <w:bottom w:val="none" w:sz="0" w:space="0" w:color="auto"/>
        <w:right w:val="none" w:sz="0" w:space="0" w:color="auto"/>
      </w:divBdr>
      <w:divsChild>
        <w:div w:id="1017580024">
          <w:marLeft w:val="0"/>
          <w:marRight w:val="0"/>
          <w:marTop w:val="0"/>
          <w:marBottom w:val="0"/>
          <w:divBdr>
            <w:top w:val="none" w:sz="0" w:space="0" w:color="auto"/>
            <w:left w:val="none" w:sz="0" w:space="0" w:color="auto"/>
            <w:bottom w:val="none" w:sz="0" w:space="0" w:color="auto"/>
            <w:right w:val="none" w:sz="0" w:space="0" w:color="auto"/>
          </w:divBdr>
        </w:div>
        <w:div w:id="1808427232">
          <w:marLeft w:val="0"/>
          <w:marRight w:val="0"/>
          <w:marTop w:val="0"/>
          <w:marBottom w:val="0"/>
          <w:divBdr>
            <w:top w:val="none" w:sz="0" w:space="0" w:color="auto"/>
            <w:left w:val="none" w:sz="0" w:space="0" w:color="auto"/>
            <w:bottom w:val="none" w:sz="0" w:space="0" w:color="auto"/>
            <w:right w:val="none" w:sz="0" w:space="0" w:color="auto"/>
          </w:divBdr>
        </w:div>
      </w:divsChild>
    </w:div>
    <w:div w:id="207376296">
      <w:bodyDiv w:val="1"/>
      <w:marLeft w:val="0"/>
      <w:marRight w:val="0"/>
      <w:marTop w:val="0"/>
      <w:marBottom w:val="0"/>
      <w:divBdr>
        <w:top w:val="none" w:sz="0" w:space="0" w:color="auto"/>
        <w:left w:val="none" w:sz="0" w:space="0" w:color="auto"/>
        <w:bottom w:val="none" w:sz="0" w:space="0" w:color="auto"/>
        <w:right w:val="none" w:sz="0" w:space="0" w:color="auto"/>
      </w:divBdr>
      <w:divsChild>
        <w:div w:id="487329197">
          <w:marLeft w:val="0"/>
          <w:marRight w:val="0"/>
          <w:marTop w:val="0"/>
          <w:marBottom w:val="0"/>
          <w:divBdr>
            <w:top w:val="none" w:sz="0" w:space="0" w:color="auto"/>
            <w:left w:val="none" w:sz="0" w:space="0" w:color="auto"/>
            <w:bottom w:val="none" w:sz="0" w:space="0" w:color="auto"/>
            <w:right w:val="none" w:sz="0" w:space="0" w:color="auto"/>
          </w:divBdr>
        </w:div>
        <w:div w:id="927884195">
          <w:marLeft w:val="0"/>
          <w:marRight w:val="0"/>
          <w:marTop w:val="0"/>
          <w:marBottom w:val="0"/>
          <w:divBdr>
            <w:top w:val="none" w:sz="0" w:space="0" w:color="auto"/>
            <w:left w:val="none" w:sz="0" w:space="0" w:color="auto"/>
            <w:bottom w:val="none" w:sz="0" w:space="0" w:color="auto"/>
            <w:right w:val="none" w:sz="0" w:space="0" w:color="auto"/>
          </w:divBdr>
        </w:div>
      </w:divsChild>
    </w:div>
    <w:div w:id="374080654">
      <w:bodyDiv w:val="1"/>
      <w:marLeft w:val="0"/>
      <w:marRight w:val="0"/>
      <w:marTop w:val="0"/>
      <w:marBottom w:val="0"/>
      <w:divBdr>
        <w:top w:val="none" w:sz="0" w:space="0" w:color="auto"/>
        <w:left w:val="none" w:sz="0" w:space="0" w:color="auto"/>
        <w:bottom w:val="none" w:sz="0" w:space="0" w:color="auto"/>
        <w:right w:val="none" w:sz="0" w:space="0" w:color="auto"/>
      </w:divBdr>
    </w:div>
    <w:div w:id="488012876">
      <w:bodyDiv w:val="1"/>
      <w:marLeft w:val="0"/>
      <w:marRight w:val="0"/>
      <w:marTop w:val="0"/>
      <w:marBottom w:val="0"/>
      <w:divBdr>
        <w:top w:val="none" w:sz="0" w:space="0" w:color="auto"/>
        <w:left w:val="none" w:sz="0" w:space="0" w:color="auto"/>
        <w:bottom w:val="none" w:sz="0" w:space="0" w:color="auto"/>
        <w:right w:val="none" w:sz="0" w:space="0" w:color="auto"/>
      </w:divBdr>
    </w:div>
    <w:div w:id="553271287">
      <w:bodyDiv w:val="1"/>
      <w:marLeft w:val="0"/>
      <w:marRight w:val="0"/>
      <w:marTop w:val="0"/>
      <w:marBottom w:val="0"/>
      <w:divBdr>
        <w:top w:val="none" w:sz="0" w:space="0" w:color="auto"/>
        <w:left w:val="none" w:sz="0" w:space="0" w:color="auto"/>
        <w:bottom w:val="none" w:sz="0" w:space="0" w:color="auto"/>
        <w:right w:val="none" w:sz="0" w:space="0" w:color="auto"/>
      </w:divBdr>
    </w:div>
    <w:div w:id="564219322">
      <w:bodyDiv w:val="1"/>
      <w:marLeft w:val="0"/>
      <w:marRight w:val="0"/>
      <w:marTop w:val="0"/>
      <w:marBottom w:val="0"/>
      <w:divBdr>
        <w:top w:val="none" w:sz="0" w:space="0" w:color="auto"/>
        <w:left w:val="none" w:sz="0" w:space="0" w:color="auto"/>
        <w:bottom w:val="none" w:sz="0" w:space="0" w:color="auto"/>
        <w:right w:val="none" w:sz="0" w:space="0" w:color="auto"/>
      </w:divBdr>
    </w:div>
    <w:div w:id="671879556">
      <w:bodyDiv w:val="1"/>
      <w:marLeft w:val="0"/>
      <w:marRight w:val="0"/>
      <w:marTop w:val="0"/>
      <w:marBottom w:val="0"/>
      <w:divBdr>
        <w:top w:val="none" w:sz="0" w:space="0" w:color="auto"/>
        <w:left w:val="none" w:sz="0" w:space="0" w:color="auto"/>
        <w:bottom w:val="none" w:sz="0" w:space="0" w:color="auto"/>
        <w:right w:val="none" w:sz="0" w:space="0" w:color="auto"/>
      </w:divBdr>
    </w:div>
    <w:div w:id="785201106">
      <w:bodyDiv w:val="1"/>
      <w:marLeft w:val="0"/>
      <w:marRight w:val="0"/>
      <w:marTop w:val="0"/>
      <w:marBottom w:val="0"/>
      <w:divBdr>
        <w:top w:val="none" w:sz="0" w:space="0" w:color="auto"/>
        <w:left w:val="none" w:sz="0" w:space="0" w:color="auto"/>
        <w:bottom w:val="none" w:sz="0" w:space="0" w:color="auto"/>
        <w:right w:val="none" w:sz="0" w:space="0" w:color="auto"/>
      </w:divBdr>
    </w:div>
    <w:div w:id="969171482">
      <w:bodyDiv w:val="1"/>
      <w:marLeft w:val="0"/>
      <w:marRight w:val="0"/>
      <w:marTop w:val="0"/>
      <w:marBottom w:val="0"/>
      <w:divBdr>
        <w:top w:val="none" w:sz="0" w:space="0" w:color="auto"/>
        <w:left w:val="none" w:sz="0" w:space="0" w:color="auto"/>
        <w:bottom w:val="none" w:sz="0" w:space="0" w:color="auto"/>
        <w:right w:val="none" w:sz="0" w:space="0" w:color="auto"/>
      </w:divBdr>
    </w:div>
    <w:div w:id="1040742832">
      <w:bodyDiv w:val="1"/>
      <w:marLeft w:val="0"/>
      <w:marRight w:val="0"/>
      <w:marTop w:val="0"/>
      <w:marBottom w:val="0"/>
      <w:divBdr>
        <w:top w:val="none" w:sz="0" w:space="0" w:color="auto"/>
        <w:left w:val="none" w:sz="0" w:space="0" w:color="auto"/>
        <w:bottom w:val="none" w:sz="0" w:space="0" w:color="auto"/>
        <w:right w:val="none" w:sz="0" w:space="0" w:color="auto"/>
      </w:divBdr>
    </w:div>
    <w:div w:id="1204635136">
      <w:bodyDiv w:val="1"/>
      <w:marLeft w:val="0"/>
      <w:marRight w:val="0"/>
      <w:marTop w:val="0"/>
      <w:marBottom w:val="0"/>
      <w:divBdr>
        <w:top w:val="none" w:sz="0" w:space="0" w:color="auto"/>
        <w:left w:val="none" w:sz="0" w:space="0" w:color="auto"/>
        <w:bottom w:val="none" w:sz="0" w:space="0" w:color="auto"/>
        <w:right w:val="none" w:sz="0" w:space="0" w:color="auto"/>
      </w:divBdr>
    </w:div>
    <w:div w:id="1303734924">
      <w:bodyDiv w:val="1"/>
      <w:marLeft w:val="0"/>
      <w:marRight w:val="0"/>
      <w:marTop w:val="0"/>
      <w:marBottom w:val="0"/>
      <w:divBdr>
        <w:top w:val="none" w:sz="0" w:space="0" w:color="auto"/>
        <w:left w:val="none" w:sz="0" w:space="0" w:color="auto"/>
        <w:bottom w:val="none" w:sz="0" w:space="0" w:color="auto"/>
        <w:right w:val="none" w:sz="0" w:space="0" w:color="auto"/>
      </w:divBdr>
    </w:div>
    <w:div w:id="1330983743">
      <w:bodyDiv w:val="1"/>
      <w:marLeft w:val="0"/>
      <w:marRight w:val="0"/>
      <w:marTop w:val="0"/>
      <w:marBottom w:val="0"/>
      <w:divBdr>
        <w:top w:val="none" w:sz="0" w:space="0" w:color="auto"/>
        <w:left w:val="none" w:sz="0" w:space="0" w:color="auto"/>
        <w:bottom w:val="none" w:sz="0" w:space="0" w:color="auto"/>
        <w:right w:val="none" w:sz="0" w:space="0" w:color="auto"/>
      </w:divBdr>
    </w:div>
    <w:div w:id="1411198114">
      <w:bodyDiv w:val="1"/>
      <w:marLeft w:val="0"/>
      <w:marRight w:val="0"/>
      <w:marTop w:val="0"/>
      <w:marBottom w:val="0"/>
      <w:divBdr>
        <w:top w:val="none" w:sz="0" w:space="0" w:color="auto"/>
        <w:left w:val="none" w:sz="0" w:space="0" w:color="auto"/>
        <w:bottom w:val="none" w:sz="0" w:space="0" w:color="auto"/>
        <w:right w:val="none" w:sz="0" w:space="0" w:color="auto"/>
      </w:divBdr>
    </w:div>
    <w:div w:id="1425224616">
      <w:bodyDiv w:val="1"/>
      <w:marLeft w:val="0"/>
      <w:marRight w:val="0"/>
      <w:marTop w:val="0"/>
      <w:marBottom w:val="0"/>
      <w:divBdr>
        <w:top w:val="none" w:sz="0" w:space="0" w:color="auto"/>
        <w:left w:val="none" w:sz="0" w:space="0" w:color="auto"/>
        <w:bottom w:val="none" w:sz="0" w:space="0" w:color="auto"/>
        <w:right w:val="none" w:sz="0" w:space="0" w:color="auto"/>
      </w:divBdr>
    </w:div>
    <w:div w:id="1579630482">
      <w:bodyDiv w:val="1"/>
      <w:marLeft w:val="0"/>
      <w:marRight w:val="0"/>
      <w:marTop w:val="0"/>
      <w:marBottom w:val="0"/>
      <w:divBdr>
        <w:top w:val="none" w:sz="0" w:space="0" w:color="auto"/>
        <w:left w:val="none" w:sz="0" w:space="0" w:color="auto"/>
        <w:bottom w:val="none" w:sz="0" w:space="0" w:color="auto"/>
        <w:right w:val="none" w:sz="0" w:space="0" w:color="auto"/>
      </w:divBdr>
    </w:div>
    <w:div w:id="1729912718">
      <w:bodyDiv w:val="1"/>
      <w:marLeft w:val="0"/>
      <w:marRight w:val="0"/>
      <w:marTop w:val="0"/>
      <w:marBottom w:val="0"/>
      <w:divBdr>
        <w:top w:val="none" w:sz="0" w:space="0" w:color="auto"/>
        <w:left w:val="none" w:sz="0" w:space="0" w:color="auto"/>
        <w:bottom w:val="none" w:sz="0" w:space="0" w:color="auto"/>
        <w:right w:val="none" w:sz="0" w:space="0" w:color="auto"/>
      </w:divBdr>
      <w:divsChild>
        <w:div w:id="215704763">
          <w:marLeft w:val="0"/>
          <w:marRight w:val="0"/>
          <w:marTop w:val="0"/>
          <w:marBottom w:val="0"/>
          <w:divBdr>
            <w:top w:val="none" w:sz="0" w:space="0" w:color="auto"/>
            <w:left w:val="none" w:sz="0" w:space="0" w:color="auto"/>
            <w:bottom w:val="none" w:sz="0" w:space="0" w:color="auto"/>
            <w:right w:val="none" w:sz="0" w:space="0" w:color="auto"/>
          </w:divBdr>
        </w:div>
        <w:div w:id="315106726">
          <w:marLeft w:val="0"/>
          <w:marRight w:val="0"/>
          <w:marTop w:val="0"/>
          <w:marBottom w:val="0"/>
          <w:divBdr>
            <w:top w:val="none" w:sz="0" w:space="0" w:color="auto"/>
            <w:left w:val="none" w:sz="0" w:space="0" w:color="auto"/>
            <w:bottom w:val="none" w:sz="0" w:space="0" w:color="auto"/>
            <w:right w:val="none" w:sz="0" w:space="0" w:color="auto"/>
          </w:divBdr>
        </w:div>
      </w:divsChild>
    </w:div>
    <w:div w:id="1785999987">
      <w:bodyDiv w:val="1"/>
      <w:marLeft w:val="0"/>
      <w:marRight w:val="0"/>
      <w:marTop w:val="0"/>
      <w:marBottom w:val="0"/>
      <w:divBdr>
        <w:top w:val="none" w:sz="0" w:space="0" w:color="auto"/>
        <w:left w:val="none" w:sz="0" w:space="0" w:color="auto"/>
        <w:bottom w:val="none" w:sz="0" w:space="0" w:color="auto"/>
        <w:right w:val="none" w:sz="0" w:space="0" w:color="auto"/>
      </w:divBdr>
    </w:div>
    <w:div w:id="1828328204">
      <w:bodyDiv w:val="1"/>
      <w:marLeft w:val="0"/>
      <w:marRight w:val="0"/>
      <w:marTop w:val="0"/>
      <w:marBottom w:val="0"/>
      <w:divBdr>
        <w:top w:val="none" w:sz="0" w:space="0" w:color="auto"/>
        <w:left w:val="none" w:sz="0" w:space="0" w:color="auto"/>
        <w:bottom w:val="none" w:sz="0" w:space="0" w:color="auto"/>
        <w:right w:val="none" w:sz="0" w:space="0" w:color="auto"/>
      </w:divBdr>
    </w:div>
    <w:div w:id="1849831471">
      <w:bodyDiv w:val="1"/>
      <w:marLeft w:val="0"/>
      <w:marRight w:val="0"/>
      <w:marTop w:val="0"/>
      <w:marBottom w:val="0"/>
      <w:divBdr>
        <w:top w:val="none" w:sz="0" w:space="0" w:color="auto"/>
        <w:left w:val="none" w:sz="0" w:space="0" w:color="auto"/>
        <w:bottom w:val="none" w:sz="0" w:space="0" w:color="auto"/>
        <w:right w:val="none" w:sz="0" w:space="0" w:color="auto"/>
      </w:divBdr>
      <w:divsChild>
        <w:div w:id="588780098">
          <w:marLeft w:val="0"/>
          <w:marRight w:val="0"/>
          <w:marTop w:val="0"/>
          <w:marBottom w:val="0"/>
          <w:divBdr>
            <w:top w:val="none" w:sz="0" w:space="0" w:color="auto"/>
            <w:left w:val="none" w:sz="0" w:space="0" w:color="auto"/>
            <w:bottom w:val="none" w:sz="0" w:space="0" w:color="auto"/>
            <w:right w:val="none" w:sz="0" w:space="0" w:color="auto"/>
          </w:divBdr>
        </w:div>
        <w:div w:id="2105882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geducation.osu.edu/academics/syllabus-policies-statements/standard-syllabus-state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1431</Words>
  <Characters>8025</Characters>
  <Application>Microsoft Office Word</Application>
  <DocSecurity>0</DocSecurity>
  <Lines>151</Lines>
  <Paragraphs>40</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Steele, Rachel</cp:lastModifiedBy>
  <cp:revision>3</cp:revision>
  <dcterms:created xsi:type="dcterms:W3CDTF">2026-01-02T19:02:00Z</dcterms:created>
  <dcterms:modified xsi:type="dcterms:W3CDTF">2026-01-02T19:03:00Z</dcterms:modified>
</cp:coreProperties>
</file>